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6B0AC19E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bookmarkStart w:id="0" w:name="_GoBack"/>
      <w:bookmarkEnd w:id="0"/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</w:t>
      </w:r>
      <w:r w:rsidR="007501AB">
        <w:rPr>
          <w:rFonts w:ascii="Arial" w:hAnsi="Arial" w:cs="Arial"/>
          <w:b/>
          <w:bCs/>
          <w:caps/>
          <w:szCs w:val="28"/>
          <w:lang w:eastAsia="pt-BR"/>
        </w:rPr>
        <w:t>3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</w:t>
      </w:r>
      <w:r w:rsidR="007501AB">
        <w:rPr>
          <w:rFonts w:ascii="Arial" w:hAnsi="Arial" w:cs="Arial"/>
          <w:b/>
          <w:bCs/>
          <w:caps/>
          <w:szCs w:val="28"/>
          <w:lang w:eastAsia="pt-BR"/>
        </w:rPr>
        <w:t>6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020CC695" w:rsidR="004A0D70" w:rsidRPr="004B09B3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Atualiza para o Exercício de 2021, os valores de base de cálculo dos Tributos Municipais”.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75373970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 e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considerando o disposto no artigo 292, Parágrafo único, das Normas Gerais e Complementares da Lei nº 30/2002 e da Lei Ordinária </w:t>
      </w:r>
      <w:proofErr w:type="gramStart"/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nº  </w:t>
      </w:r>
      <w:r w:rsidR="00CD5196">
        <w:rPr>
          <w:rFonts w:ascii="Arial" w:hAnsi="Arial" w:cs="Arial"/>
          <w:color w:val="000000" w:themeColor="text1"/>
          <w:sz w:val="24"/>
          <w:lang w:eastAsia="pt-BR"/>
        </w:rPr>
        <w:t>613</w:t>
      </w:r>
      <w:proofErr w:type="gramEnd"/>
      <w:r w:rsidR="00CD5196">
        <w:rPr>
          <w:rFonts w:ascii="Arial" w:hAnsi="Arial" w:cs="Arial"/>
          <w:color w:val="000000" w:themeColor="text1"/>
          <w:sz w:val="24"/>
          <w:lang w:eastAsia="pt-BR"/>
        </w:rPr>
        <w:t>/2020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01D8D318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CD5196">
        <w:rPr>
          <w:rFonts w:ascii="Arial" w:hAnsi="Arial" w:cs="Arial"/>
          <w:sz w:val="24"/>
          <w:lang w:eastAsia="pt-BR"/>
        </w:rPr>
        <w:t xml:space="preserve">Ficam atualizados em 4,31% para o exercício de </w:t>
      </w:r>
      <w:r w:rsidR="007501AB">
        <w:rPr>
          <w:rFonts w:ascii="Arial" w:hAnsi="Arial" w:cs="Arial"/>
          <w:sz w:val="24"/>
          <w:lang w:eastAsia="pt-BR"/>
        </w:rPr>
        <w:t>2021</w:t>
      </w:r>
      <w:r w:rsidR="00CD5196">
        <w:rPr>
          <w:rFonts w:ascii="Arial" w:hAnsi="Arial" w:cs="Arial"/>
          <w:sz w:val="24"/>
          <w:lang w:eastAsia="pt-BR"/>
        </w:rPr>
        <w:t xml:space="preserve">, os valores da base de cálculo do Imposto Predial e Territorial Urbano. </w:t>
      </w:r>
    </w:p>
    <w:p w14:paraId="1D2004AA" w14:textId="77777777" w:rsidR="004A0D70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705FA175" w14:textId="77777777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1FC1EC15" w14:textId="3D54329C" w:rsidR="004A0D70" w:rsidRDefault="004A0D70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Art. 2º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CD5196">
        <w:rPr>
          <w:rStyle w:val="Absatz-Standardschriftart"/>
          <w:rFonts w:ascii="Arial" w:hAnsi="Arial" w:cs="Arial"/>
          <w:spacing w:val="-1"/>
          <w:lang w:val="pt-BR"/>
        </w:rPr>
        <w:t>Os valores das taxas de prestação de serviço e o exercício do Poder de Polícia, seguem o mesmo vértice de atualização do Artigo 1º</w:t>
      </w:r>
      <w:r w:rsidRPr="005E2C56">
        <w:rPr>
          <w:rStyle w:val="Absatz-Standardschriftart"/>
          <w:rFonts w:ascii="Arial" w:hAnsi="Arial" w:cs="Arial"/>
          <w:spacing w:val="-1"/>
          <w:lang w:val="pt-BR"/>
        </w:rPr>
        <w:t xml:space="preserve">: </w:t>
      </w:r>
    </w:p>
    <w:p w14:paraId="62266B67" w14:textId="0345051C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09E1B5E7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7674D976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>A Tabela I, para cobrança de preços públicos e tarifas oriundas do Decreto nº 397/2013, segue o percentual de atualização previsto no artigo 1º deste Decreto.</w:t>
      </w:r>
    </w:p>
    <w:p w14:paraId="6C393CAB" w14:textId="2FCD588B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3CA8B82" w14:textId="3C56F13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0E5A60D" w14:textId="3C60ECBC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4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C567E1">
        <w:rPr>
          <w:rStyle w:val="Absatz-Standardschriftart"/>
          <w:rFonts w:ascii="Arial" w:hAnsi="Arial" w:cs="Arial"/>
          <w:spacing w:val="-1"/>
          <w:lang w:val="pt-BR"/>
        </w:rPr>
        <w:t xml:space="preserve">A taxa de renovação de Alvará de Localização/Funcionamento terá vencimento para os recolhimentos dos devidos tributos em 12/02/2021, em cota única. </w:t>
      </w:r>
    </w:p>
    <w:p w14:paraId="75200176" w14:textId="77777777" w:rsidR="00CD519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E708F8A" w14:textId="67E4FA4F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26F07736" w14:textId="7B36E947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5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A Atualização de 4,31% tem como base o índice do IPCA (Índice Nacional de Preços ao Consumidor Amplo), de </w:t>
      </w:r>
      <w:r w:rsidR="007501AB">
        <w:rPr>
          <w:rStyle w:val="Absatz-Standardschriftart"/>
          <w:rFonts w:ascii="Arial" w:hAnsi="Arial" w:cs="Arial"/>
          <w:spacing w:val="-1"/>
          <w:lang w:val="pt-BR"/>
        </w:rPr>
        <w:t xml:space="preserve">janeiro a dezembro de </w:t>
      </w:r>
      <w:r>
        <w:rPr>
          <w:rStyle w:val="Absatz-Standardschriftart"/>
          <w:rFonts w:ascii="Arial" w:hAnsi="Arial" w:cs="Arial"/>
          <w:spacing w:val="-1"/>
          <w:lang w:val="pt-BR"/>
        </w:rPr>
        <w:t>2020.</w:t>
      </w:r>
      <w:r w:rsidRPr="005E2C56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</w:p>
    <w:p w14:paraId="391FA559" w14:textId="77777777" w:rsidR="00CD519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0FF774B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1FC2313" w14:textId="7DF569AC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6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vigor na data de sua publicação. </w:t>
      </w:r>
    </w:p>
    <w:p w14:paraId="079749F0" w14:textId="50DA742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63866E1A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567E1">
        <w:rPr>
          <w:rFonts w:ascii="Arial" w:hAnsi="Arial" w:cs="Arial"/>
          <w:sz w:val="24"/>
          <w:lang w:eastAsia="pt-BR"/>
        </w:rPr>
        <w:t>0</w:t>
      </w:r>
      <w:r w:rsidR="007501AB">
        <w:rPr>
          <w:rFonts w:ascii="Arial" w:hAnsi="Arial" w:cs="Arial"/>
          <w:sz w:val="24"/>
          <w:lang w:eastAsia="pt-BR"/>
        </w:rPr>
        <w:t>6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C567E1">
        <w:rPr>
          <w:rFonts w:ascii="Arial" w:hAnsi="Arial" w:cs="Arial"/>
          <w:sz w:val="24"/>
          <w:lang w:eastAsia="pt-BR"/>
        </w:rPr>
        <w:t>janeiro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>
        <w:rPr>
          <w:rFonts w:ascii="Arial" w:hAnsi="Arial" w:cs="Arial"/>
          <w:b/>
          <w:sz w:val="24"/>
          <w:lang w:eastAsia="pt-BR"/>
        </w:rPr>
        <w:t>Brindarolli</w:t>
      </w:r>
      <w:proofErr w:type="spellEnd"/>
      <w:r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6E20B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6E20B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6E20B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6E20B7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121B0F"/>
    <w:rsid w:val="00176822"/>
    <w:rsid w:val="002B4088"/>
    <w:rsid w:val="00313486"/>
    <w:rsid w:val="0035695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6E20B7"/>
    <w:rsid w:val="007501AB"/>
    <w:rsid w:val="00786ECB"/>
    <w:rsid w:val="007F3461"/>
    <w:rsid w:val="008207DA"/>
    <w:rsid w:val="00895E99"/>
    <w:rsid w:val="008E05C9"/>
    <w:rsid w:val="008E7294"/>
    <w:rsid w:val="0091703A"/>
    <w:rsid w:val="00961B77"/>
    <w:rsid w:val="00987A72"/>
    <w:rsid w:val="00A4551F"/>
    <w:rsid w:val="00A737ED"/>
    <w:rsid w:val="00BF102F"/>
    <w:rsid w:val="00C27266"/>
    <w:rsid w:val="00C567E1"/>
    <w:rsid w:val="00C6101A"/>
    <w:rsid w:val="00CB723E"/>
    <w:rsid w:val="00CD5196"/>
    <w:rsid w:val="00DE76BF"/>
    <w:rsid w:val="00E60090"/>
    <w:rsid w:val="00E807AD"/>
    <w:rsid w:val="00EA5F6C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2</cp:revision>
  <cp:lastPrinted>2021-01-06T13:53:00Z</cp:lastPrinted>
  <dcterms:created xsi:type="dcterms:W3CDTF">2021-01-06T13:54:00Z</dcterms:created>
  <dcterms:modified xsi:type="dcterms:W3CDTF">2021-01-06T13:54:00Z</dcterms:modified>
</cp:coreProperties>
</file>